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95" w:rsidRDefault="00133C95" w:rsidP="001E6662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Załącznik nr </w:t>
      </w:r>
      <w:r w:rsidR="007F590D">
        <w:rPr>
          <w:rFonts w:eastAsia="Times New Roman"/>
          <w:sz w:val="20"/>
          <w:lang w:eastAsia="pl-PL"/>
        </w:rPr>
        <w:t>2</w:t>
      </w:r>
      <w:r w:rsidRPr="00133C95">
        <w:rPr>
          <w:rFonts w:eastAsia="Times New Roman"/>
          <w:sz w:val="20"/>
          <w:lang w:eastAsia="pl-PL"/>
        </w:rPr>
        <w:t>: Systematyka kryteriów wyboru projektów pozakonkursowych PUP współfinansowanych z EFS w ramach RPOWP 2014-2020</w:t>
      </w:r>
      <w:r>
        <w:rPr>
          <w:rFonts w:eastAsia="Times New Roman"/>
          <w:sz w:val="20"/>
          <w:lang w:eastAsia="pl-PL"/>
        </w:rPr>
        <w:t>.</w:t>
      </w:r>
    </w:p>
    <w:p w:rsidR="001E6662" w:rsidRDefault="001E6662" w:rsidP="001E6662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</w:p>
    <w:p w:rsidR="001E6662" w:rsidRDefault="001E6662" w:rsidP="001E6662">
      <w:pPr>
        <w:spacing w:after="0" w:line="240" w:lineRule="auto"/>
        <w:ind w:firstLine="1560"/>
        <w:jc w:val="both"/>
        <w:rPr>
          <w:rFonts w:eastAsia="Times New Roman"/>
          <w:sz w:val="20"/>
          <w:lang w:eastAsia="pl-PL"/>
        </w:rPr>
      </w:pPr>
      <w:r w:rsidRPr="00F976A5">
        <w:rPr>
          <w:noProof/>
          <w:lang w:eastAsia="pl-PL"/>
        </w:rPr>
        <w:drawing>
          <wp:inline distT="0" distB="0" distL="0" distR="0" wp14:anchorId="38CC7A07" wp14:editId="1772352A">
            <wp:extent cx="7029450" cy="952500"/>
            <wp:effectExtent l="0" t="0" r="0" b="0"/>
            <wp:docPr id="1" name="Obraz 2" descr="C:\Users\malgorzata.zynel\AppData\Local\Microsoft\Windows\Temporary Internet Files\Content.Outlook\NBE2MAEH\logo_3sz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algorzata.zynel\AppData\Local\Microsoft\Windows\Temporary Internet Files\Content.Outlook\NBE2MAEH\logo_3szt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62" w:rsidRPr="00133C95" w:rsidRDefault="001E6662" w:rsidP="001E6662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</w:p>
    <w:p w:rsidR="001B281E" w:rsidRPr="001B281E" w:rsidRDefault="001B281E" w:rsidP="001B281E">
      <w:pPr>
        <w:spacing w:after="0" w:line="240" w:lineRule="auto"/>
        <w:ind w:left="10915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117"/>
        <w:gridCol w:w="3157"/>
        <w:gridCol w:w="197"/>
        <w:gridCol w:w="4267"/>
      </w:tblGrid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6D51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SYSTEMATYKA KRYTERIÓW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WYBORU PROJEKTÓW </w:t>
            </w:r>
            <w:r>
              <w:rPr>
                <w:rFonts w:cs="Calibri"/>
                <w:b/>
                <w:sz w:val="28"/>
                <w:szCs w:val="28"/>
              </w:rPr>
              <w:t>POZAKONKURSOWYCH PUP WSPÓŁFINANSOWANYCH Z EFS W RAMACH RPOWP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2014-2020 </w:t>
            </w:r>
          </w:p>
        </w:tc>
      </w:tr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E16B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OGÓLNE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85" w:type="pct"/>
            <w:gridSpan w:val="3"/>
            <w:shd w:val="clear" w:color="auto" w:fill="auto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1. KRYTERIA FORMALNE</w:t>
            </w:r>
          </w:p>
        </w:tc>
      </w:tr>
      <w:tr w:rsidR="001B281E" w:rsidTr="00F01687">
        <w:tc>
          <w:tcPr>
            <w:tcW w:w="162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Brzmienie kryterium</w:t>
            </w:r>
          </w:p>
        </w:tc>
        <w:tc>
          <w:tcPr>
            <w:tcW w:w="1183" w:type="pct"/>
            <w:gridSpan w:val="2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331C7A" w:rsidRPr="00B3144A" w:rsidRDefault="00331C7A" w:rsidP="003A20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</w:t>
            </w:r>
            <w:r>
              <w:t xml:space="preserve"> </w:t>
            </w:r>
            <w:r w:rsidRPr="00B3144A">
              <w:rPr>
                <w:rFonts w:cs="Calibri"/>
              </w:rPr>
              <w:t>złożono we właściwej instytucji.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331C7A" w:rsidRPr="00B3144A" w:rsidRDefault="00331C7A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Ocena spełniania kryterium polega na przypisaniu im w</w:t>
            </w:r>
            <w:r>
              <w:rPr>
                <w:rFonts w:cs="Calibri"/>
              </w:rPr>
              <w:t xml:space="preserve">artości logicznych „tak”, „nie” </w:t>
            </w:r>
            <w:r w:rsidRPr="0072710B">
              <w:rPr>
                <w:rFonts w:cs="Calibri"/>
              </w:rPr>
              <w:t>albo stwier</w:t>
            </w:r>
            <w:bookmarkStart w:id="0" w:name="_GoBack"/>
            <w:bookmarkEnd w:id="0"/>
            <w:r w:rsidRPr="0072710B">
              <w:rPr>
                <w:rFonts w:cs="Calibri"/>
              </w:rPr>
              <w:t>dzeniu, że kryterium nie dotyczy danego projektu</w:t>
            </w:r>
            <w:r>
              <w:rPr>
                <w:rFonts w:cs="Calibri"/>
              </w:rPr>
              <w:t>.</w:t>
            </w:r>
          </w:p>
        </w:tc>
        <w:tc>
          <w:tcPr>
            <w:tcW w:w="1501" w:type="pct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któregokolwiek z kryteriów formalnych </w:t>
            </w:r>
            <w:r>
              <w:rPr>
                <w:rFonts w:cs="Calibri"/>
              </w:rPr>
              <w:t>kierowane są do poprawy lub uzupełnienia.</w:t>
            </w: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AB57C1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Wniosek złożono w terminie </w:t>
            </w:r>
            <w:r>
              <w:rPr>
                <w:rFonts w:cs="Calibri"/>
              </w:rPr>
              <w:t>określonym w ogłoszeniu o naborze oraz wezwaniu do złożenia wniosku o dofinansowanie w</w:t>
            </w:r>
            <w:r w:rsidRPr="00D22452">
              <w:rPr>
                <w:rFonts w:cs="Calibri"/>
              </w:rPr>
              <w:t xml:space="preserve"> rozumieniu art. 48 ust. 1 ustawy</w:t>
            </w:r>
            <w:r>
              <w:rPr>
                <w:rFonts w:cs="Calibri"/>
              </w:rPr>
              <w:t xml:space="preserve"> z dnia 11 lipca 2014 r.</w:t>
            </w:r>
            <w:r w:rsidRPr="00D22452">
              <w:rPr>
                <w:rFonts w:cs="Calibri"/>
              </w:rPr>
              <w:t xml:space="preserve"> o zasadach realizacji programów w zakresie polityki spójności finansowanych w perspektywie finanso</w:t>
            </w:r>
            <w:r>
              <w:rPr>
                <w:rFonts w:cs="Calibri"/>
              </w:rPr>
              <w:t>wej 2014-2020.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Wniosek wypełniono w języku polskim.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DF4EAA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Wniosek złożono </w:t>
            </w:r>
            <w:r w:rsidRPr="00733B9D">
              <w:rPr>
                <w:rFonts w:cs="Calibri"/>
              </w:rPr>
              <w:t xml:space="preserve">w formie </w:t>
            </w:r>
            <w:r>
              <w:rPr>
                <w:rFonts w:cs="Calibri"/>
              </w:rPr>
              <w:t xml:space="preserve">wskazanej w wezwaniu do złożenia wniosku o dofinansowanie projektu pozakonkursowego. 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53" w:type="pct"/>
            <w:shd w:val="clear" w:color="auto" w:fill="auto"/>
          </w:tcPr>
          <w:p w:rsidR="00331C7A" w:rsidRPr="004A605F" w:rsidRDefault="00331C7A" w:rsidP="00CF251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Wydatki w projekcie o wartości nieprzekraczającej </w:t>
            </w:r>
            <w:r w:rsidRPr="004A605F">
              <w:rPr>
                <w:rFonts w:cs="Calibri"/>
              </w:rPr>
              <w:t xml:space="preserve">wyrażonej w PLN </w:t>
            </w:r>
            <w:r>
              <w:rPr>
                <w:rFonts w:cs="Calibri"/>
              </w:rPr>
              <w:t>równowartości</w:t>
            </w:r>
            <w:r w:rsidRPr="004A605F">
              <w:rPr>
                <w:rFonts w:cs="Calibri"/>
              </w:rPr>
              <w:t xml:space="preserve"> kwoty</w:t>
            </w:r>
            <w:r>
              <w:rPr>
                <w:rFonts w:cs="Calibri"/>
              </w:rPr>
              <w:t xml:space="preserve"> 100 000 EUR </w:t>
            </w:r>
            <w:r w:rsidRPr="005260FA">
              <w:rPr>
                <w:rFonts w:cs="Calibri"/>
              </w:rPr>
              <w:t>wkładu publicznego</w:t>
            </w:r>
            <w:r w:rsidRPr="005260FA"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</w:rPr>
              <w:t xml:space="preserve">są rozliczane uproszczonymi metodami, o których mowa w </w:t>
            </w:r>
            <w:r w:rsidRPr="004A605F">
              <w:rPr>
                <w:rFonts w:cs="Calibri"/>
                <w:i/>
              </w:rPr>
              <w:t>Wytyczn</w:t>
            </w:r>
            <w:r>
              <w:rPr>
                <w:rFonts w:cs="Calibri"/>
                <w:i/>
              </w:rPr>
              <w:t>ych</w:t>
            </w:r>
            <w:r w:rsidRPr="004A605F">
              <w:rPr>
                <w:rFonts w:cs="Calibri"/>
                <w:i/>
              </w:rPr>
              <w:t xml:space="preserve"> w zakresie kwalifikowalności wydatków w zakresie Europejskiego Funduszu Rozwoju Regionalnego, Europejskiego Funduszu Społecznego oraz Funduszu Spójności na lata 2014-2020</w:t>
            </w:r>
            <w:r>
              <w:rPr>
                <w:rFonts w:cs="Calibri"/>
              </w:rPr>
              <w:t>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Wnioskodawca zgodnie </w:t>
            </w:r>
            <w:r>
              <w:rPr>
                <w:rFonts w:cs="Calibri"/>
              </w:rPr>
              <w:t xml:space="preserve">ze </w:t>
            </w:r>
            <w:r w:rsidRPr="00B3144A">
              <w:rPr>
                <w:rFonts w:cs="Calibri"/>
              </w:rPr>
              <w:t xml:space="preserve">Szczegółowym Opisem Osi Priorytetowych </w:t>
            </w:r>
            <w:r w:rsidR="00F01687">
              <w:rPr>
                <w:rFonts w:cs="Calibri"/>
              </w:rPr>
              <w:t>RPO</w:t>
            </w:r>
            <w:r>
              <w:rPr>
                <w:rFonts w:cs="Calibri"/>
              </w:rPr>
              <w:t>WP</w:t>
            </w:r>
            <w:r w:rsidRPr="00B3144A" w:rsidDel="00547A7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jest</w:t>
            </w:r>
            <w:r w:rsidRPr="00B3144A">
              <w:rPr>
                <w:rFonts w:cs="Calibri"/>
              </w:rPr>
              <w:t xml:space="preserve"> podmiot</w:t>
            </w:r>
            <w:r>
              <w:rPr>
                <w:rFonts w:cs="Calibri"/>
              </w:rPr>
              <w:t>em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uprawnionym do </w:t>
            </w:r>
            <w:r>
              <w:rPr>
                <w:rFonts w:cs="Calibri"/>
              </w:rPr>
              <w:lastRenderedPageBreak/>
              <w:t>ubiegania się o dofinansowanie</w:t>
            </w:r>
            <w:r w:rsidRPr="00B3144A">
              <w:rPr>
                <w:rFonts w:cs="Calibri"/>
              </w:rPr>
              <w:t xml:space="preserve"> w ramach</w:t>
            </w:r>
            <w:r>
              <w:rPr>
                <w:rFonts w:cs="Calibri"/>
              </w:rPr>
              <w:t xml:space="preserve"> właściwego</w:t>
            </w:r>
            <w:r w:rsidRPr="00B3144A">
              <w:rPr>
                <w:rFonts w:cs="Calibri"/>
              </w:rPr>
              <w:t xml:space="preserve"> Działania/Pod</w:t>
            </w:r>
            <w:r w:rsidR="00C4282A">
              <w:rPr>
                <w:rFonts w:cs="Calibri"/>
              </w:rPr>
              <w:t>d</w:t>
            </w:r>
            <w:r w:rsidRPr="00B3144A">
              <w:rPr>
                <w:rFonts w:cs="Calibri"/>
              </w:rPr>
              <w:t xml:space="preserve">ziałania </w:t>
            </w:r>
            <w:r w:rsidR="00F01687">
              <w:rPr>
                <w:rFonts w:cs="Calibri"/>
              </w:rPr>
              <w:t>RPO</w:t>
            </w:r>
            <w:r>
              <w:rPr>
                <w:rFonts w:cs="Calibri"/>
              </w:rPr>
              <w:t xml:space="preserve">WP.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lastRenderedPageBreak/>
              <w:t xml:space="preserve">Nazwa kryteriów: </w:t>
            </w:r>
          </w:p>
        </w:tc>
        <w:tc>
          <w:tcPr>
            <w:tcW w:w="2685" w:type="pct"/>
            <w:gridSpan w:val="3"/>
            <w:shd w:val="clear" w:color="auto" w:fill="auto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2. KRYTERIA MERYTORYCZNE</w:t>
            </w:r>
          </w:p>
        </w:tc>
      </w:tr>
      <w:tr w:rsidR="00070403" w:rsidTr="00F01687">
        <w:trPr>
          <w:trHeight w:val="387"/>
        </w:trPr>
        <w:tc>
          <w:tcPr>
            <w:tcW w:w="162" w:type="pct"/>
            <w:shd w:val="clear" w:color="auto" w:fill="D9D9D9"/>
            <w:vAlign w:val="center"/>
          </w:tcPr>
          <w:p w:rsidR="00331C7A" w:rsidRPr="00B3144A" w:rsidRDefault="00331C7A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  <w:vAlign w:val="center"/>
          </w:tcPr>
          <w:p w:rsidR="00331C7A" w:rsidRPr="00B3144A" w:rsidRDefault="00331C7A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Brzmienie kryterium</w:t>
            </w:r>
          </w:p>
        </w:tc>
        <w:tc>
          <w:tcPr>
            <w:tcW w:w="1183" w:type="pct"/>
            <w:gridSpan w:val="2"/>
            <w:shd w:val="clear" w:color="auto" w:fill="D9D9D9"/>
            <w:vAlign w:val="center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C4282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B3144A">
              <w:rPr>
                <w:rFonts w:cs="Calibri"/>
              </w:rPr>
              <w:t>g</w:t>
            </w:r>
            <w:r>
              <w:rPr>
                <w:rFonts w:cs="Calibri"/>
              </w:rPr>
              <w:t xml:space="preserve">odność </w:t>
            </w:r>
            <w:r w:rsidR="00331C7A" w:rsidRPr="00B3144A">
              <w:rPr>
                <w:rFonts w:cs="Calibri"/>
              </w:rPr>
              <w:t xml:space="preserve">projektu z właściwym celem szczegółowym </w:t>
            </w:r>
            <w:r w:rsidR="0067733D">
              <w:rPr>
                <w:rFonts w:cs="Calibri"/>
              </w:rPr>
              <w:t>RPO</w:t>
            </w:r>
            <w:r w:rsidR="00331C7A">
              <w:rPr>
                <w:rFonts w:cs="Calibri"/>
              </w:rPr>
              <w:t xml:space="preserve">WP, w tym </w:t>
            </w:r>
            <w:r w:rsidR="000E197E" w:rsidRPr="00B3144A">
              <w:rPr>
                <w:rFonts w:cs="Calibri"/>
              </w:rPr>
              <w:t>adekwatność doboru</w:t>
            </w:r>
            <w:r w:rsidR="00331C7A" w:rsidRPr="00B3144A">
              <w:rPr>
                <w:rFonts w:cs="Calibri"/>
              </w:rPr>
              <w:t xml:space="preserve"> </w:t>
            </w:r>
            <w:r w:rsidR="00331C7A">
              <w:rPr>
                <w:rFonts w:cs="Calibri"/>
              </w:rPr>
              <w:t xml:space="preserve">i opisu (o ile </w:t>
            </w:r>
            <w:r w:rsidR="000E197E">
              <w:rPr>
                <w:rFonts w:cs="Calibri"/>
              </w:rPr>
              <w:t>dotyczy) wskaźników</w:t>
            </w:r>
            <w:r w:rsidR="00331C7A" w:rsidRPr="00B3144A">
              <w:rPr>
                <w:rFonts w:cs="Calibri"/>
              </w:rPr>
              <w:t xml:space="preserve"> realizacji </w:t>
            </w:r>
            <w:r w:rsidR="00331C7A">
              <w:rPr>
                <w:rFonts w:cs="Calibri"/>
              </w:rPr>
              <w:t xml:space="preserve">właściwego </w:t>
            </w:r>
            <w:r w:rsidR="00331C7A" w:rsidRPr="00B3144A">
              <w:rPr>
                <w:rFonts w:cs="Calibri"/>
              </w:rPr>
              <w:t>celu szczegółowego</w:t>
            </w:r>
            <w:r w:rsidR="0067733D">
              <w:rPr>
                <w:rFonts w:cs="Calibri"/>
              </w:rPr>
              <w:t xml:space="preserve"> RPO</w:t>
            </w:r>
            <w:r w:rsidR="00331C7A">
              <w:rPr>
                <w:rFonts w:cs="Calibri"/>
              </w:rPr>
              <w:t>WP.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B3144A">
              <w:rPr>
                <w:rFonts w:cs="Calibri"/>
              </w:rPr>
              <w:t>cena spełniania kryterium polega na przypisaniu im w</w:t>
            </w:r>
            <w:r>
              <w:rPr>
                <w:rFonts w:cs="Calibri"/>
              </w:rPr>
              <w:t xml:space="preserve">artości logicznych „tak”, „nie” </w:t>
            </w:r>
            <w:r w:rsidRPr="0072710B">
              <w:rPr>
                <w:rFonts w:cs="Calibri"/>
              </w:rPr>
              <w:t>albo stwierdzeniu, że kryterium nie dotyczy danego projektu</w:t>
            </w:r>
            <w:r>
              <w:rPr>
                <w:rFonts w:cs="Calibri"/>
              </w:rPr>
              <w:t>.</w:t>
            </w:r>
          </w:p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</w:t>
            </w:r>
            <w:r>
              <w:rPr>
                <w:rFonts w:cs="Calibri"/>
              </w:rPr>
              <w:t>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Adekwatność doboru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grupy docelowej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 właściwego celu szczegółowego RPOWP</w:t>
            </w:r>
            <w:r w:rsidRPr="00B3144A">
              <w:rPr>
                <w:rFonts w:cs="Calibri"/>
              </w:rPr>
              <w:t xml:space="preserve">, w tym </w:t>
            </w:r>
            <w:r>
              <w:rPr>
                <w:rFonts w:cs="Calibri"/>
              </w:rPr>
              <w:t>opis</w:t>
            </w:r>
            <w:r w:rsidRPr="00B3144A">
              <w:rPr>
                <w:rFonts w:cs="Calibri"/>
              </w:rPr>
              <w:t>:</w:t>
            </w:r>
          </w:p>
          <w:p w:rsidR="00331C7A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istotnych cech</w:t>
            </w:r>
            <w:r w:rsidRPr="00CE7623">
              <w:rPr>
                <w:rFonts w:cs="Calibri"/>
              </w:rPr>
              <w:t xml:space="preserve"> uczestników (osób lub podmiotów), którzy zostaną objęci wsparciem</w:t>
            </w:r>
            <w:r>
              <w:rPr>
                <w:rFonts w:cs="Calibri"/>
              </w:rPr>
              <w:t>;</w:t>
            </w:r>
          </w:p>
          <w:p w:rsidR="00331C7A" w:rsidRPr="00B3144A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sposobu rekrutacji uczestników projektu, </w:t>
            </w:r>
            <w:r>
              <w:rPr>
                <w:rFonts w:cs="Calibri"/>
              </w:rPr>
              <w:br/>
            </w:r>
            <w:r w:rsidRPr="00B3144A">
              <w:rPr>
                <w:rFonts w:cs="Calibri"/>
              </w:rPr>
              <w:t>w tym kryteriów rekrutacji</w:t>
            </w:r>
            <w:r>
              <w:rPr>
                <w:rFonts w:cs="Calibri"/>
              </w:rPr>
              <w:t xml:space="preserve"> i kwestii </w:t>
            </w:r>
            <w:r w:rsidRPr="00B3144A">
              <w:rPr>
                <w:rFonts w:cs="Calibri"/>
              </w:rPr>
              <w:t>zapewnienia dostępności dla osób z niepełnosprawnościami.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Default="00331C7A" w:rsidP="00F01687">
            <w:pPr>
              <w:spacing w:after="0" w:line="240" w:lineRule="auto"/>
              <w:jc w:val="both"/>
            </w:pP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B3144A" w:rsidRDefault="00C4282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31C7A"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Trafność doboru i opisu zadań przewidzianych do realizacji w ramach projektu, w tym opisu:</w:t>
            </w:r>
          </w:p>
          <w:p w:rsidR="00331C7A" w:rsidRPr="00B3144A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zasadność</w:t>
            </w:r>
            <w:r w:rsidRPr="00B3144A">
              <w:rPr>
                <w:rFonts w:cs="Calibri"/>
              </w:rPr>
              <w:t xml:space="preserve"> potrzeby realizacji zadań;</w:t>
            </w:r>
          </w:p>
          <w:p w:rsidR="00331C7A" w:rsidRPr="00284D03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284D03">
              <w:rPr>
                <w:rFonts w:cs="Calibri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331C7A" w:rsidRPr="00284D03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284D03">
              <w:rPr>
                <w:rFonts w:cs="Calibri"/>
              </w:rPr>
              <w:t xml:space="preserve">sposobu, w jaki zostanie zachowana trwałość </w:t>
            </w:r>
            <w:r w:rsidRPr="00284D03">
              <w:rPr>
                <w:rFonts w:cs="Calibri"/>
              </w:rPr>
              <w:br/>
              <w:t>i wpływ rezultatów projektu (o ile dotyczy);</w:t>
            </w:r>
          </w:p>
          <w:p w:rsidR="00331C7A" w:rsidRPr="003D15EC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4D03">
              <w:rPr>
                <w:rFonts w:cs="Calibri"/>
              </w:rPr>
              <w:t>uzasadnienia wyboru par</w:t>
            </w:r>
            <w:r w:rsidRPr="00B3144A">
              <w:rPr>
                <w:rFonts w:cs="Calibri"/>
              </w:rPr>
              <w:t>tnerów do realizacji poszczególnych zadań (o ile dotyczy).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Default="00331C7A" w:rsidP="00F01687">
            <w:pPr>
              <w:spacing w:after="0" w:line="240" w:lineRule="auto"/>
              <w:jc w:val="both"/>
            </w:pPr>
          </w:p>
        </w:tc>
      </w:tr>
      <w:tr w:rsidR="007768CF" w:rsidRPr="00B3144A" w:rsidTr="00F01687">
        <w:trPr>
          <w:trHeight w:val="6245"/>
        </w:trPr>
        <w:tc>
          <w:tcPr>
            <w:tcW w:w="162" w:type="pct"/>
            <w:shd w:val="clear" w:color="auto" w:fill="auto"/>
          </w:tcPr>
          <w:p w:rsidR="007768CF" w:rsidRPr="00B3144A" w:rsidRDefault="00C4282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  <w:r w:rsidR="007768CF"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7768CF" w:rsidRDefault="007768CF" w:rsidP="00E16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7768CF" w:rsidRPr="00C70EE0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 xml:space="preserve">kwalifikowalność wydatków, </w:t>
            </w:r>
          </w:p>
          <w:p w:rsidR="007768CF" w:rsidRPr="00C70EE0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 xml:space="preserve">niezbędność wydatków do realizacji projektu i osiągania jego celów, </w:t>
            </w:r>
          </w:p>
          <w:p w:rsidR="007768CF" w:rsidRPr="00C70EE0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>racjonalność i efektywność wydatków projektu</w:t>
            </w:r>
            <w:r>
              <w:rPr>
                <w:rFonts w:cs="Calibri"/>
              </w:rPr>
              <w:t xml:space="preserve"> (relacja nakład-rezultat)</w:t>
            </w:r>
            <w:r w:rsidRPr="00C70EE0">
              <w:rPr>
                <w:rFonts w:cs="Calibri"/>
              </w:rPr>
              <w:t xml:space="preserve">, </w:t>
            </w:r>
          </w:p>
          <w:p w:rsidR="007768CF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 xml:space="preserve">poprawność </w:t>
            </w:r>
            <w:r>
              <w:rPr>
                <w:rFonts w:cs="Calibri"/>
              </w:rPr>
              <w:t>stosowania</w:t>
            </w:r>
            <w:r w:rsidRPr="00C70EE0">
              <w:rPr>
                <w:rFonts w:cs="Calibri"/>
              </w:rPr>
              <w:t xml:space="preserve"> kwot ryczałtowych</w:t>
            </w:r>
            <w:r>
              <w:rPr>
                <w:rFonts w:cs="Calibri"/>
              </w:rPr>
              <w:t xml:space="preserve"> (o ile dotyczy)</w:t>
            </w:r>
            <w:r w:rsidRPr="00C70EE0">
              <w:rPr>
                <w:rFonts w:cs="Calibri"/>
              </w:rPr>
              <w:t xml:space="preserve">, </w:t>
            </w:r>
          </w:p>
          <w:p w:rsidR="007768CF" w:rsidRPr="006E35A0" w:rsidRDefault="007768CF" w:rsidP="007234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72340C">
              <w:rPr>
                <w:rFonts w:cs="Calibri"/>
              </w:rPr>
              <w:t>poprawność formalno-rachunkowa sporządzenia budżetu projektu.</w:t>
            </w:r>
          </w:p>
          <w:p w:rsidR="007768CF" w:rsidRPr="00B3144A" w:rsidRDefault="007768CF" w:rsidP="00753518">
            <w:pPr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753518">
              <w:rPr>
                <w:rFonts w:cs="Calibri"/>
              </w:rPr>
              <w:t>Wydatki w projekcie są zgodne z Wytycznymi w zakresie kwalifikowalności wydatków w ramach Europejskiego Funduszu Rozwoju Regionalnego, Europejskiego Funduszu Społecznego oraz Funduszu Spójności na lata 2014-2020 oraz</w:t>
            </w:r>
            <w:r w:rsidRPr="006E35A0">
              <w:rPr>
                <w:rFonts w:cs="Calibri"/>
              </w:rPr>
              <w:t xml:space="preserve"> Wytycznymi w zakresie realizacji projektów finansowanych ze środków Funduszu Pracy w ramach programów operacyjnych współfinansowanych z Europejskiego Funduszu na lata 2014-2020. Wartość kosztów pośrednich rozliczanych ryczałtem została wyliczona zgodnie z Wytycznymi w</w:t>
            </w:r>
            <w:r w:rsidRPr="00753518">
              <w:rPr>
                <w:rFonts w:cs="Calibri"/>
              </w:rPr>
              <w:t xml:space="preserve"> zakresie realizacji projektów finansowanych ze środków Funduszu Pracy w ramach programów operacyjnych współfinansowanych z Europejskiego Funduszu Społecznego na lata 2014-2020.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7768CF" w:rsidRPr="00B3144A" w:rsidRDefault="007768CF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7768CF" w:rsidRDefault="007768CF" w:rsidP="00F01687">
            <w:pPr>
              <w:spacing w:after="0" w:line="240" w:lineRule="auto"/>
              <w:jc w:val="both"/>
            </w:pP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85" w:type="pct"/>
            <w:gridSpan w:val="3"/>
            <w:shd w:val="clear" w:color="auto" w:fill="auto"/>
            <w:vAlign w:val="center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 xml:space="preserve">3. KRYTERIA </w:t>
            </w:r>
            <w:r>
              <w:rPr>
                <w:rFonts w:cs="Calibri"/>
                <w:b/>
                <w:sz w:val="24"/>
                <w:szCs w:val="24"/>
              </w:rPr>
              <w:t>DOPUSZCZAJĄCE OGÓLNE</w:t>
            </w:r>
          </w:p>
        </w:tc>
      </w:tr>
      <w:tr w:rsidR="00070403" w:rsidTr="00F01687">
        <w:tc>
          <w:tcPr>
            <w:tcW w:w="162" w:type="pct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Brzmienie kryterium </w:t>
            </w:r>
          </w:p>
        </w:tc>
        <w:tc>
          <w:tcPr>
            <w:tcW w:w="1112" w:type="pct"/>
            <w:shd w:val="clear" w:color="auto" w:fill="D9D9D9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72" w:type="pct"/>
            <w:gridSpan w:val="2"/>
            <w:shd w:val="clear" w:color="auto" w:fill="D9D9D9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070403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Zgodność z prawodawstwem unijnym </w:t>
            </w:r>
            <w:r>
              <w:rPr>
                <w:rFonts w:cs="Calibri"/>
              </w:rPr>
              <w:t xml:space="preserve">oraz </w:t>
            </w:r>
            <w:r w:rsidRPr="00B3144A">
              <w:rPr>
                <w:rFonts w:cs="Calibri"/>
              </w:rPr>
              <w:t xml:space="preserve">z </w:t>
            </w:r>
            <w:r w:rsidR="000E197E" w:rsidRPr="00B3144A">
              <w:rPr>
                <w:rFonts w:cs="Calibri"/>
              </w:rPr>
              <w:t>właściwymi zasadami</w:t>
            </w:r>
            <w:r w:rsidRPr="00B3144A">
              <w:rPr>
                <w:rFonts w:cs="Calibri"/>
              </w:rPr>
              <w:t xml:space="preserve"> unijnymi</w:t>
            </w:r>
            <w:r>
              <w:rPr>
                <w:rFonts w:cs="Calibri"/>
              </w:rPr>
              <w:t xml:space="preserve">, </w:t>
            </w:r>
            <w:r w:rsidRPr="00B3144A">
              <w:rPr>
                <w:rFonts w:cs="Calibri"/>
              </w:rPr>
              <w:t>w tym</w:t>
            </w:r>
            <w:r>
              <w:rPr>
                <w:rFonts w:cs="Calibri"/>
              </w:rPr>
              <w:t>:</w:t>
            </w:r>
          </w:p>
          <w:p w:rsidR="00331C7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zasadą równości</w:t>
            </w:r>
            <w:r>
              <w:rPr>
                <w:rFonts w:cs="Calibri"/>
              </w:rPr>
              <w:t xml:space="preserve"> </w:t>
            </w:r>
            <w:r w:rsidR="000E197E">
              <w:rPr>
                <w:rFonts w:cs="Calibri"/>
              </w:rPr>
              <w:t xml:space="preserve">szans </w:t>
            </w:r>
            <w:r w:rsidR="000E197E" w:rsidRPr="00B3144A">
              <w:rPr>
                <w:rFonts w:cs="Calibri"/>
              </w:rPr>
              <w:t>kobiet</w:t>
            </w:r>
            <w:r w:rsidRPr="00B3144A">
              <w:rPr>
                <w:rFonts w:cs="Calibri"/>
              </w:rPr>
              <w:t xml:space="preserve"> i mężczyzn</w:t>
            </w:r>
            <w:r>
              <w:rPr>
                <w:rFonts w:cs="Calibri"/>
              </w:rPr>
              <w:t xml:space="preserve"> w </w:t>
            </w:r>
            <w:r w:rsidR="000E197E">
              <w:rPr>
                <w:rFonts w:cs="Calibri"/>
              </w:rPr>
              <w:t>oparciu o</w:t>
            </w:r>
            <w:r>
              <w:rPr>
                <w:rFonts w:cs="Calibri"/>
              </w:rPr>
              <w:t xml:space="preserve"> standard minimum,</w:t>
            </w:r>
          </w:p>
          <w:p w:rsidR="00331C7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zasadą równości szans </w:t>
            </w:r>
            <w:r w:rsidR="000E197E">
              <w:rPr>
                <w:rFonts w:cs="Calibri"/>
              </w:rPr>
              <w:t xml:space="preserve">i </w:t>
            </w:r>
            <w:r w:rsidR="000E197E" w:rsidRPr="00E0011C">
              <w:rPr>
                <w:rFonts w:cs="Calibri"/>
              </w:rPr>
              <w:t>niedyskryminacji</w:t>
            </w:r>
            <w:r>
              <w:rPr>
                <w:rFonts w:cs="Calibri"/>
              </w:rPr>
              <w:t xml:space="preserve">, w tym dostępności dla osób z niepełnosprawnościami </w:t>
            </w:r>
          </w:p>
          <w:p w:rsidR="00331C7A" w:rsidRPr="00B3144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zasadą zrównoważonego rozwoju</w:t>
            </w:r>
            <w:r>
              <w:rPr>
                <w:rFonts w:cs="Calibri"/>
              </w:rPr>
              <w:t>.</w:t>
            </w:r>
            <w:r w:rsidRPr="00B3144A">
              <w:rPr>
                <w:rFonts w:cs="Calibri"/>
              </w:rPr>
              <w:t xml:space="preserve"> 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331C7A" w:rsidRDefault="00331C7A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3144A">
              <w:rPr>
                <w:rFonts w:cs="Calibri"/>
                <w:lang w:eastAsia="pl-PL"/>
              </w:rPr>
              <w:t>Ocena spełniania kryterium polega na przypisaniu im w</w:t>
            </w:r>
            <w:r>
              <w:rPr>
                <w:rFonts w:cs="Calibri"/>
                <w:lang w:eastAsia="pl-PL"/>
              </w:rPr>
              <w:t>artości logicznych „tak”, „nie”.</w:t>
            </w:r>
          </w:p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572" w:type="pct"/>
            <w:gridSpan w:val="2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eastAsia="pl-PL"/>
              </w:rPr>
              <w:t xml:space="preserve">Spełnienie kryterium jest </w:t>
            </w:r>
            <w:r w:rsidRPr="00B3144A">
              <w:rPr>
                <w:rFonts w:cs="Calibri"/>
                <w:lang w:eastAsia="pl-PL"/>
              </w:rPr>
              <w:t xml:space="preserve">konieczne do przyznania dofinansowania. </w:t>
            </w: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</w:t>
            </w:r>
            <w:r>
              <w:rPr>
                <w:rFonts w:cs="Calibri"/>
              </w:rPr>
              <w:t>kryterium kierowane są do poprawy lub uzupełnienia.</w:t>
            </w:r>
          </w:p>
        </w:tc>
      </w:tr>
      <w:tr w:rsidR="00070403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4814E8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4814E8">
              <w:rPr>
                <w:rFonts w:cs="Calibri"/>
              </w:rPr>
              <w:t>Zgo</w:t>
            </w:r>
            <w:r>
              <w:rPr>
                <w:rFonts w:cs="Calibri"/>
              </w:rPr>
              <w:t>dność z prawodawstwem krajowym w zakresie odnoszącym się do sposobu realizacji i zakresu projektu.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70403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2153" w:type="pct"/>
            <w:shd w:val="clear" w:color="auto" w:fill="auto"/>
          </w:tcPr>
          <w:p w:rsidR="00331C7A" w:rsidRPr="004F78AA" w:rsidRDefault="00331C7A" w:rsidP="00E16B3C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Zgodność projektu ze Szczegółowym Opisem Osi Priorytetowych Regionalnego Programu Operacyjnego Województwa Podlaskiego.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vMerge/>
            <w:shd w:val="clear" w:color="auto" w:fill="auto"/>
          </w:tcPr>
          <w:p w:rsidR="00331C7A" w:rsidRPr="0052582C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F01687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both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SZCZEGÓŁOWE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>Nazwa kryteriów:</w:t>
            </w:r>
          </w:p>
        </w:tc>
        <w:tc>
          <w:tcPr>
            <w:tcW w:w="2685" w:type="pct"/>
            <w:gridSpan w:val="3"/>
            <w:shd w:val="clear" w:color="auto" w:fill="auto"/>
          </w:tcPr>
          <w:p w:rsidR="00331C7A" w:rsidRPr="00B3144A" w:rsidRDefault="00331C7A" w:rsidP="00F01687">
            <w:pPr>
              <w:spacing w:before="120" w:after="120" w:line="240" w:lineRule="auto"/>
              <w:ind w:left="72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KRYTERIA DOPUSZCZAJĄCE SZCZEGÓLNE</w:t>
            </w:r>
          </w:p>
        </w:tc>
      </w:tr>
      <w:tr w:rsidR="00070403" w:rsidRPr="00B3144A" w:rsidTr="00F01687">
        <w:trPr>
          <w:trHeight w:val="735"/>
        </w:trPr>
        <w:tc>
          <w:tcPr>
            <w:tcW w:w="162" w:type="pct"/>
            <w:shd w:val="clear" w:color="auto" w:fill="D9D9D9"/>
            <w:vAlign w:val="center"/>
          </w:tcPr>
          <w:p w:rsidR="00331C7A" w:rsidRPr="007626D3" w:rsidRDefault="00331C7A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  <w:vAlign w:val="center"/>
          </w:tcPr>
          <w:p w:rsidR="00331C7A" w:rsidRPr="007626D3" w:rsidRDefault="00331C7A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Brzmienie kryterium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Definicja kryterium</w:t>
            </w:r>
          </w:p>
        </w:tc>
        <w:tc>
          <w:tcPr>
            <w:tcW w:w="1572" w:type="pct"/>
            <w:gridSpan w:val="2"/>
            <w:shd w:val="clear" w:color="auto" w:fill="D9D9D9"/>
            <w:vAlign w:val="center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Opis kryterium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1.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Uczestnikami projektu są osoby od 30 roku życia pozostające bez pracy zarejestrowane w powiatowym urzędzie pracy zakwalifikowane do profilu pomocy I (tzw. bezrobotni aktywni) lub profilu pomocy II (tzw. wymagający wsparcia), należące co najmniej do jednej z poniższych grup:</w:t>
            </w:r>
          </w:p>
          <w:p w:rsidR="00331C7A" w:rsidRPr="007626D3" w:rsidRDefault="00331C7A" w:rsidP="00AA74FB">
            <w:pPr>
              <w:spacing w:after="0" w:line="240" w:lineRule="auto"/>
              <w:ind w:hanging="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osoby powyżej 50 roku życia,</w:t>
            </w:r>
          </w:p>
          <w:p w:rsidR="00331C7A" w:rsidRPr="007626D3" w:rsidRDefault="00331C7A" w:rsidP="00AA74FB">
            <w:pPr>
              <w:spacing w:after="0" w:line="240" w:lineRule="auto"/>
              <w:ind w:hanging="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kobiety,</w:t>
            </w:r>
          </w:p>
          <w:p w:rsidR="00331C7A" w:rsidRPr="007626D3" w:rsidRDefault="00331C7A" w:rsidP="00AA74FB">
            <w:pPr>
              <w:spacing w:after="0" w:line="240" w:lineRule="auto"/>
              <w:ind w:hanging="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osoby z niepełnosprawnościami,</w:t>
            </w:r>
          </w:p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osoby długotrwale bezrobotne,</w:t>
            </w:r>
          </w:p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 xml:space="preserve">- osoby o niskich kwalifikacjach. 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 xml:space="preserve">Ocena spełniania kryterium polega na przypisaniu im wartości logicznych „tak”, „nie” albo stwierdzeniu, że kryterium nie dotyczy danego projektu.  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Wprowadzenie kryterium</w:t>
            </w:r>
            <w:r w:rsidRPr="007626D3">
              <w:t xml:space="preserve"> </w:t>
            </w:r>
            <w:r w:rsidRPr="007626D3">
              <w:rPr>
                <w:rFonts w:cs="Arial"/>
              </w:rPr>
              <w:t>ma celu objęcie wsparciem grup znajdujących się w szczególnie trudnej sytuacji na rynku pracy oraz</w:t>
            </w:r>
            <w:r w:rsidRPr="007626D3">
              <w:t xml:space="preserve"> </w:t>
            </w:r>
            <w:r w:rsidRPr="007626D3">
              <w:rPr>
                <w:rFonts w:cs="Arial"/>
              </w:rPr>
              <w:t>jest implikacją założeń</w:t>
            </w:r>
            <w:r w:rsidR="00F01687">
              <w:rPr>
                <w:rFonts w:cs="Arial"/>
              </w:rPr>
              <w:t xml:space="preserve"> przyjętych w ramach osi II RPO</w:t>
            </w:r>
            <w:r w:rsidRPr="007626D3">
              <w:rPr>
                <w:rFonts w:cs="Arial"/>
              </w:rPr>
              <w:t>WP. Kryterium odnosi się do rekrutacji prowadzonej w roku obowiązywania projektu. Spełnienie przedmiotowego kryterium zostanie zweryfikowane na podstawie treści wniosku.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2.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  <w:color w:val="000000"/>
              </w:rPr>
              <w:t>Projekt zakłada, że proces rekrutacji uczestników projektu zakończy się do 31.12.2015 r.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ma na celu zapewnienie koncentracji wsparcia na osobach od 30 roku życia (należących do I lub II profilu pomocy) zarejestrowanych w powiatowych urzędach pracy w 2015 r. oraz możliwie szybkie i sprawne podjęcie działań w celu poprawy ich sytuacji na rynku pracy.</w:t>
            </w:r>
            <w:r w:rsidRPr="007626D3">
              <w:t xml:space="preserve"> </w:t>
            </w:r>
            <w:r w:rsidRPr="007626D3">
              <w:rPr>
                <w:rFonts w:cs="Arial"/>
              </w:rPr>
              <w:t>Spełnienie przedmiotowego kryterium zostanie zweryfikowane na podstawie treści wniosku.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3.</w:t>
            </w:r>
          </w:p>
        </w:tc>
        <w:tc>
          <w:tcPr>
            <w:tcW w:w="2153" w:type="pct"/>
            <w:shd w:val="clear" w:color="auto" w:fill="auto"/>
          </w:tcPr>
          <w:p w:rsidR="00331C7A" w:rsidRDefault="00331C7A" w:rsidP="00AA74FB">
            <w:pPr>
              <w:spacing w:after="0" w:line="240" w:lineRule="auto"/>
              <w:ind w:left="-13"/>
              <w:jc w:val="both"/>
              <w:rPr>
                <w:rFonts w:eastAsia="Times New Roman" w:cs="Arial"/>
                <w:lang w:eastAsia="pl-PL"/>
              </w:rPr>
            </w:pPr>
            <w:r w:rsidRPr="007626D3">
              <w:rPr>
                <w:rFonts w:eastAsia="Times New Roman" w:cs="Arial"/>
                <w:lang w:eastAsia="pl-PL"/>
              </w:rPr>
              <w:t xml:space="preserve">Projekt skierowany jest do osób niepełnosprawnych – w proporcji co najmniej takiej samej, jak proporcja osób niepełnosprawnych od 30 roku życia, kwalifikujących się do objęcia wsparciem w ramach projektu (należących do I lub II profilu pomocy) i zarejestrowanych w rejestrze danego PUP w stosunku do ogólnej liczby zarejestrowanych osób bezrobotnych od 30 roku </w:t>
            </w:r>
            <w:r w:rsidR="000E197E" w:rsidRPr="007626D3">
              <w:rPr>
                <w:rFonts w:eastAsia="Times New Roman" w:cs="Arial"/>
                <w:lang w:eastAsia="pl-PL"/>
              </w:rPr>
              <w:t>życia (wg</w:t>
            </w:r>
            <w:r w:rsidRPr="007626D3">
              <w:rPr>
                <w:rFonts w:eastAsia="Times New Roman" w:cs="Arial"/>
                <w:lang w:eastAsia="pl-PL"/>
              </w:rPr>
              <w:t xml:space="preserve"> </w:t>
            </w:r>
            <w:r w:rsidRPr="007626D3">
              <w:rPr>
                <w:rFonts w:eastAsia="Times New Roman" w:cs="Arial"/>
                <w:lang w:eastAsia="pl-PL"/>
              </w:rPr>
              <w:lastRenderedPageBreak/>
              <w:t>stanu na 31.12.2014 r.).</w:t>
            </w:r>
          </w:p>
          <w:p w:rsidR="00331C7A" w:rsidRPr="007626D3" w:rsidRDefault="00331C7A" w:rsidP="00AA74FB">
            <w:pPr>
              <w:spacing w:after="0" w:line="240" w:lineRule="auto"/>
              <w:ind w:left="-13"/>
              <w:jc w:val="both"/>
              <w:rPr>
                <w:rFonts w:eastAsia="Times New Roman" w:cs="Arial"/>
                <w:lang w:eastAsia="pl-PL"/>
              </w:rPr>
            </w:pPr>
            <w:r w:rsidRPr="008B70D7">
              <w:rPr>
                <w:rFonts w:eastAsia="Times New Roman" w:cs="Arial"/>
                <w:lang w:eastAsia="pl-PL"/>
              </w:rPr>
              <w:t>Przedmiotowe kryterium określa minimalny poziom udziału osób z niepełnosprawnościami w grupie docelowej projektu, przy czym rekomenduje się objęcie wsparciem projektowym możliwie jak największej liczby osób niepełnosprawnych</w:t>
            </w:r>
            <w:r>
              <w:rPr>
                <w:rFonts w:eastAsia="Times New Roman" w:cs="Arial"/>
                <w:lang w:eastAsia="pl-PL"/>
              </w:rPr>
              <w:t>.</w:t>
            </w:r>
          </w:p>
          <w:p w:rsidR="00331C7A" w:rsidRPr="0072340C" w:rsidRDefault="00331C7A" w:rsidP="0072340C">
            <w:pPr>
              <w:spacing w:after="0" w:line="240" w:lineRule="auto"/>
              <w:ind w:left="-13"/>
              <w:jc w:val="both"/>
              <w:rPr>
                <w:rFonts w:eastAsia="Times New Roman" w:cs="Arial"/>
                <w:lang w:eastAsia="pl-PL"/>
              </w:rPr>
            </w:pPr>
            <w:r w:rsidRPr="007626D3">
              <w:rPr>
                <w:rFonts w:eastAsia="Times New Roman" w:cs="Arial"/>
                <w:lang w:eastAsia="pl-PL"/>
              </w:rPr>
              <w:t>Kryterium odnosi się do rekrutacji prowadzonej w roku obowiązywania projektu.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</w:t>
            </w:r>
            <w:r w:rsidRPr="007626D3">
              <w:t xml:space="preserve"> </w:t>
            </w:r>
            <w:r w:rsidRPr="007626D3">
              <w:rPr>
                <w:rFonts w:cs="Arial"/>
              </w:rPr>
              <w:t>jest implikacją wskaźników prod</w:t>
            </w:r>
            <w:r w:rsidR="00F01687"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 xml:space="preserve">WP. </w:t>
            </w:r>
            <w:r w:rsidRPr="007626D3">
              <w:rPr>
                <w:rFonts w:cs="Arial"/>
              </w:rPr>
              <w:lastRenderedPageBreak/>
              <w:t>Spełnienie przedmiotowego kryterium</w:t>
            </w:r>
            <w:r w:rsidRPr="007626D3">
              <w:t xml:space="preserve"> </w:t>
            </w:r>
            <w:r w:rsidRPr="007626D3">
              <w:rPr>
                <w:rFonts w:cs="Arial"/>
              </w:rPr>
              <w:t>zostanie zweryfikowane na podstawie treści wniosku, tj. właściwie określony wskaźnik produktu. Projektodawca jest zobligowany do wskazania we wniosku o dofinansowanie jako minimum wskaźnika produktu odnoszącego się do struktury grupy docelowej (określenie udziału osób niepełnosprawnych).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lastRenderedPageBreak/>
              <w:t>4.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ind w:left="-13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 xml:space="preserve">Grupę docelową projektu w co najmniej 50% stanowią osoby długotrwale bezrobotne, rozumiane jako osoby pozostające bez zatrudnienia nieprzerwanie ponad </w:t>
            </w:r>
            <w:r w:rsidRPr="007626D3">
              <w:rPr>
                <w:rFonts w:cs="Arial"/>
                <w:b/>
              </w:rPr>
              <w:t>12 miesięcy</w:t>
            </w:r>
            <w:r w:rsidRPr="007626D3">
              <w:rPr>
                <w:rFonts w:cs="Arial"/>
                <w:b/>
                <w:color w:val="FF0000"/>
              </w:rPr>
              <w:t xml:space="preserve"> </w:t>
            </w:r>
            <w:r w:rsidRPr="007626D3">
              <w:rPr>
                <w:rFonts w:cs="Arial"/>
                <w:b/>
              </w:rPr>
              <w:t>(należące do I lub II</w:t>
            </w:r>
            <w:r w:rsidRPr="007626D3">
              <w:rPr>
                <w:rFonts w:cs="Arial"/>
              </w:rPr>
              <w:t xml:space="preserve"> profilu pomocy).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 jest implikacją wskaźników prod</w:t>
            </w:r>
            <w:r w:rsidR="00F01687"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>WP. Spełnienie przedmiotowego kryterium zostanie zweryfikowane na podstawie treści wniosku, tj. właściwie określony wskaźnik produktu. Projektodawca jest zobligowany do wskazania we wniosku o dofinansowanie jako minimum wskaźnika produktu odnoszącego się do struktury grupy docelowej (określenie udziału osób długotrwale bezrobotnych).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5.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ind w:left="-27"/>
              <w:rPr>
                <w:rFonts w:cs="Arial"/>
              </w:rPr>
            </w:pPr>
            <w:r w:rsidRPr="007626D3">
              <w:rPr>
                <w:rFonts w:cs="Arial"/>
              </w:rPr>
              <w:t>Grupę docelową projektu w co najmniej 25% stanowią osoby po 50 roku życia (należące do I lub II profilu pomocy).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 jest implikacją wskaźników prod</w:t>
            </w:r>
            <w:r w:rsidR="00F01687"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 xml:space="preserve">WP. Spełnienie przedmiotowego kryterium zostanie zweryfikowane na podstawie treści wniosku, tj. właściwie określony wskaźnik produktu. Projektodawca jest zobligowany do wskazania we wniosku o dofinansowanie jako minimum </w:t>
            </w:r>
            <w:r w:rsidRPr="007626D3">
              <w:rPr>
                <w:rFonts w:cs="Arial"/>
              </w:rPr>
              <w:lastRenderedPageBreak/>
              <w:t>wskaźnika produktu odnoszącego się do struktury grupy docelowej (określenie udziału osób po 50 roku życia).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lastRenderedPageBreak/>
              <w:t>6.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7626D3">
              <w:rPr>
                <w:rFonts w:cs="Arial"/>
              </w:rPr>
              <w:t>Projekt zakłada:</w:t>
            </w:r>
          </w:p>
          <w:p w:rsidR="00331C7A" w:rsidRPr="007626D3" w:rsidRDefault="00331C7A" w:rsidP="00F01687">
            <w:pPr>
              <w:numPr>
                <w:ilvl w:val="0"/>
                <w:numId w:val="11"/>
              </w:numPr>
              <w:spacing w:after="0" w:line="240" w:lineRule="auto"/>
              <w:ind w:left="206" w:hanging="142"/>
              <w:jc w:val="both"/>
              <w:rPr>
                <w:rFonts w:eastAsia="Times New Roman" w:cs="Arial"/>
                <w:lang w:eastAsia="pl-PL"/>
              </w:rPr>
            </w:pPr>
            <w:r w:rsidRPr="007626D3">
              <w:rPr>
                <w:rFonts w:eastAsia="Times New Roman" w:cs="Arial"/>
                <w:lang w:eastAsia="pl-PL"/>
              </w:rPr>
              <w:t xml:space="preserve">ogólny wskaźnik efektywności zatrudnieniowej </w:t>
            </w:r>
            <w:r w:rsidRPr="007626D3">
              <w:rPr>
                <w:rFonts w:eastAsia="Times New Roman" w:cs="Arial"/>
                <w:iCs/>
                <w:color w:val="000000"/>
                <w:lang w:eastAsia="pl-PL"/>
              </w:rPr>
              <w:t xml:space="preserve">dla uczestników nie kwalifikujących się do żadnej </w:t>
            </w:r>
            <w:r w:rsidRPr="007626D3">
              <w:rPr>
                <w:rFonts w:eastAsia="Times New Roman" w:cs="Arial"/>
                <w:color w:val="000000"/>
                <w:lang w:eastAsia="pl-PL"/>
              </w:rPr>
              <w:t xml:space="preserve">z </w:t>
            </w:r>
            <w:r w:rsidRPr="007626D3">
              <w:rPr>
                <w:rFonts w:eastAsia="Times New Roman" w:cs="Arial"/>
                <w:iCs/>
                <w:color w:val="000000"/>
                <w:lang w:eastAsia="pl-PL"/>
              </w:rPr>
              <w:t xml:space="preserve">poniżej </w:t>
            </w:r>
            <w:r w:rsidRPr="007626D3">
              <w:rPr>
                <w:rFonts w:eastAsia="Times New Roman" w:cs="Arial"/>
                <w:iCs/>
                <w:lang w:eastAsia="pl-PL"/>
              </w:rPr>
              <w:t xml:space="preserve">wymienionych grup </w:t>
            </w:r>
            <w:r w:rsidR="000E197E" w:rsidRPr="007626D3">
              <w:rPr>
                <w:rFonts w:eastAsia="Times New Roman" w:cs="Arial"/>
                <w:iCs/>
                <w:lang w:eastAsia="pl-PL"/>
              </w:rPr>
              <w:t xml:space="preserve">docelowych - </w:t>
            </w:r>
            <w:r w:rsidR="000E197E" w:rsidRPr="007626D3">
              <w:rPr>
                <w:rFonts w:eastAsia="Times New Roman" w:cs="Arial"/>
                <w:lang w:eastAsia="pl-PL"/>
              </w:rPr>
              <w:t>na</w:t>
            </w:r>
            <w:r w:rsidRPr="007626D3">
              <w:rPr>
                <w:rFonts w:eastAsia="Times New Roman" w:cs="Arial"/>
                <w:lang w:eastAsia="pl-PL"/>
              </w:rPr>
              <w:t xml:space="preserve"> poziomie co najmniej 43%,</w:t>
            </w:r>
          </w:p>
          <w:p w:rsidR="00331C7A" w:rsidRPr="007626D3" w:rsidRDefault="00331C7A" w:rsidP="00F01687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06" w:hanging="142"/>
              <w:contextualSpacing w:val="0"/>
              <w:rPr>
                <w:rFonts w:ascii="Calibri" w:hAnsi="Calibri" w:cs="Arial"/>
                <w:szCs w:val="22"/>
              </w:rPr>
            </w:pPr>
            <w:r w:rsidRPr="007626D3">
              <w:rPr>
                <w:rFonts w:ascii="Calibri" w:hAnsi="Calibri" w:cs="Arial"/>
                <w:szCs w:val="22"/>
              </w:rPr>
              <w:t>dla osób niepełnosprawnych – wskaźnik efektywności zatrudnieniowej na poziomie co najmniej 17%,</w:t>
            </w:r>
          </w:p>
          <w:p w:rsidR="00331C7A" w:rsidRPr="007626D3" w:rsidRDefault="00331C7A" w:rsidP="00F01687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06" w:hanging="142"/>
              <w:contextualSpacing w:val="0"/>
              <w:rPr>
                <w:rFonts w:ascii="Calibri" w:hAnsi="Calibri" w:cs="Arial"/>
                <w:szCs w:val="22"/>
              </w:rPr>
            </w:pPr>
            <w:r w:rsidRPr="007626D3">
              <w:rPr>
                <w:rFonts w:ascii="Calibri" w:hAnsi="Calibri" w:cs="Arial"/>
                <w:szCs w:val="22"/>
              </w:rPr>
              <w:t>dla osób długotrwale bezrobotnych, rozumianych jako osoby pozostające bez zatrudnienia nieprzerwanie ponad 12 miesięcy – wskaźnik efektywności zatrudnieniowej na poziomie co najmniej 35%,</w:t>
            </w:r>
          </w:p>
          <w:p w:rsidR="00331C7A" w:rsidRPr="007626D3" w:rsidRDefault="00331C7A" w:rsidP="00F01687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06" w:hanging="142"/>
              <w:contextualSpacing w:val="0"/>
              <w:rPr>
                <w:rFonts w:ascii="Calibri" w:hAnsi="Calibri" w:cs="Arial"/>
                <w:szCs w:val="22"/>
              </w:rPr>
            </w:pPr>
            <w:r w:rsidRPr="007626D3">
              <w:rPr>
                <w:rFonts w:ascii="Calibri" w:hAnsi="Calibri" w:cs="Arial"/>
                <w:szCs w:val="22"/>
              </w:rPr>
              <w:t>dla osób po 50 roku życia – wskaźnik efektywności zatrudnieniowej na poziomie co najmniej 35%,</w:t>
            </w:r>
          </w:p>
          <w:p w:rsidR="00331C7A" w:rsidRPr="007626D3" w:rsidRDefault="00331C7A" w:rsidP="00F01687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06" w:hanging="142"/>
              <w:contextualSpacing w:val="0"/>
              <w:rPr>
                <w:rFonts w:ascii="Calibri" w:hAnsi="Calibri" w:cs="Arial"/>
                <w:szCs w:val="22"/>
              </w:rPr>
            </w:pPr>
            <w:r w:rsidRPr="007626D3">
              <w:rPr>
                <w:rFonts w:ascii="Calibri" w:hAnsi="Calibri" w:cs="Arial"/>
                <w:szCs w:val="22"/>
              </w:rPr>
              <w:t>dla osób o niskich kwalifikacjach – wskaźnik efektywności zatrudnieniowej na poziomie co najmniej 36%.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Kryterium służy zwiększeniu efektywności działań realizowanych w ramach projektu oraz przyczyni się do utworzenia trwałych miejsc pracy.</w:t>
            </w:r>
            <w:r w:rsidRPr="007626D3">
              <w:t xml:space="preserve"> </w:t>
            </w:r>
            <w:r w:rsidRPr="007626D3">
              <w:rPr>
                <w:rFonts w:cs="Arial"/>
              </w:rPr>
              <w:t>Na etapie oceny wniosku o dofinansowanie</w:t>
            </w:r>
            <w:r w:rsidRPr="007626D3">
              <w:t xml:space="preserve"> </w:t>
            </w:r>
            <w:r w:rsidRPr="007626D3">
              <w:rPr>
                <w:rFonts w:cs="Arial"/>
              </w:rPr>
              <w:t xml:space="preserve">spełnienie przedmiotowego kryterium zostanie zweryfikowane na podstawie treści wniosku, np. właściwie określony wskaźnik pomiaru celu. </w:t>
            </w:r>
          </w:p>
          <w:p w:rsidR="00331C7A" w:rsidRPr="007626D3" w:rsidRDefault="00331C7A" w:rsidP="00F01687">
            <w:pPr>
              <w:spacing w:after="0" w:line="240" w:lineRule="auto"/>
              <w:ind w:left="-44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Spełnienie przedmiotowego kryterium będzie weryfikowane w okresie realizacji projektu i po jego zakończeniu, zgodnie z</w:t>
            </w:r>
            <w:r>
              <w:rPr>
                <w:rFonts w:cs="Arial"/>
              </w:rPr>
              <w:t xml:space="preserve">e szczegółowymi zasadami określonymi w </w:t>
            </w:r>
            <w:r w:rsidRPr="007626D3">
              <w:rPr>
                <w:rFonts w:cs="Arial"/>
                <w:i/>
              </w:rPr>
              <w:t>Wytycznych w zakresie zasad realizacji przedsięwzięć z udziałem środków Europejskiego Funduszu Społecznego w obszarze rynku pracy na lata 2014-2020</w:t>
            </w:r>
            <w:r w:rsidRPr="007626D3">
              <w:rPr>
                <w:rFonts w:cs="Arial"/>
              </w:rPr>
              <w:t>. Kryterium efektywności zatrudnieniowej określa się jako odsetek uczestników, którzy po zakończeniu udziału w projekcie współfinansowanym ze środków Europejskiego Funduszu Społecznego (EFS) podjęli zatrudnienie</w:t>
            </w:r>
            <w:r>
              <w:rPr>
                <w:rFonts w:cs="Arial"/>
              </w:rPr>
              <w:t xml:space="preserve"> na co najmniej trzy miesiące</w:t>
            </w:r>
            <w:r w:rsidRPr="007626D3">
              <w:rPr>
                <w:rFonts w:cs="Arial"/>
              </w:rPr>
              <w:t xml:space="preserve"> w okresie do trzech miesięcy następujących po dniu, w którym zakończyli udział w projekcie.</w:t>
            </w:r>
          </w:p>
          <w:p w:rsidR="00331C7A" w:rsidRPr="007626D3" w:rsidRDefault="00331C7A" w:rsidP="00F01687">
            <w:pPr>
              <w:spacing w:after="0" w:line="240" w:lineRule="auto"/>
              <w:ind w:left="-44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</w:tbl>
    <w:p w:rsidR="008D7AF5" w:rsidRDefault="008D7AF5" w:rsidP="00A42AFC">
      <w:pPr>
        <w:spacing w:line="240" w:lineRule="auto"/>
      </w:pPr>
    </w:p>
    <w:sectPr w:rsidR="008D7AF5" w:rsidSect="001E6662">
      <w:footerReference w:type="default" r:id="rId10"/>
      <w:pgSz w:w="16838" w:h="11906" w:orient="landscape"/>
      <w:pgMar w:top="851" w:right="1418" w:bottom="851" w:left="1418" w:header="85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30" w:rsidRDefault="005B3230" w:rsidP="003D5936">
      <w:pPr>
        <w:spacing w:after="0" w:line="240" w:lineRule="auto"/>
      </w:pPr>
      <w:r>
        <w:separator/>
      </w:r>
    </w:p>
  </w:endnote>
  <w:endnote w:type="continuationSeparator" w:id="0">
    <w:p w:rsidR="005B3230" w:rsidRDefault="005B3230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CE" w:rsidRDefault="000012CE" w:rsidP="00AA74F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6662">
      <w:rPr>
        <w:noProof/>
      </w:rPr>
      <w:t>2</w:t>
    </w:r>
    <w:r>
      <w:fldChar w:fldCharType="end"/>
    </w:r>
  </w:p>
  <w:p w:rsidR="000012CE" w:rsidRDefault="00001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30" w:rsidRDefault="005B3230" w:rsidP="003D5936">
      <w:pPr>
        <w:spacing w:after="0" w:line="240" w:lineRule="auto"/>
      </w:pPr>
      <w:r>
        <w:separator/>
      </w:r>
    </w:p>
  </w:footnote>
  <w:footnote w:type="continuationSeparator" w:id="0">
    <w:p w:rsidR="005B3230" w:rsidRDefault="005B3230" w:rsidP="003D5936">
      <w:pPr>
        <w:spacing w:after="0" w:line="240" w:lineRule="auto"/>
      </w:pPr>
      <w:r>
        <w:continuationSeparator/>
      </w:r>
    </w:p>
  </w:footnote>
  <w:footnote w:id="1">
    <w:p w:rsidR="00331C7A" w:rsidRPr="008321BB" w:rsidRDefault="00331C7A" w:rsidP="00CF55D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  <w:lang w:eastAsia="pl-PL"/>
        </w:rPr>
        <w:t>Do przeliczenia ww. kwoty na PLN należy stosować miesięczny obrachunkowy kurs wymiany stosowany przez KE aktualny na dzień ogłoszenia</w:t>
      </w:r>
      <w:r>
        <w:rPr>
          <w:rFonts w:cs="Arial"/>
          <w:sz w:val="16"/>
          <w:szCs w:val="16"/>
          <w:lang w:eastAsia="pl-PL"/>
        </w:rPr>
        <w:t xml:space="preserve"> naboru</w:t>
      </w:r>
      <w:r w:rsidRPr="00CF55D0">
        <w:rPr>
          <w:rFonts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A"/>
    <w:rsid w:val="000012CE"/>
    <w:rsid w:val="00003ACA"/>
    <w:rsid w:val="00022FFB"/>
    <w:rsid w:val="00030B5B"/>
    <w:rsid w:val="00037B81"/>
    <w:rsid w:val="000412E4"/>
    <w:rsid w:val="0004478C"/>
    <w:rsid w:val="00055B68"/>
    <w:rsid w:val="000631D1"/>
    <w:rsid w:val="0006320D"/>
    <w:rsid w:val="000640EA"/>
    <w:rsid w:val="000668BC"/>
    <w:rsid w:val="00070403"/>
    <w:rsid w:val="00081A04"/>
    <w:rsid w:val="00097E7B"/>
    <w:rsid w:val="000A2FA8"/>
    <w:rsid w:val="000A3D94"/>
    <w:rsid w:val="000A4A6D"/>
    <w:rsid w:val="000D0F64"/>
    <w:rsid w:val="000E197E"/>
    <w:rsid w:val="000E58A5"/>
    <w:rsid w:val="000E65A5"/>
    <w:rsid w:val="000F7ED2"/>
    <w:rsid w:val="001003E6"/>
    <w:rsid w:val="00100AEB"/>
    <w:rsid w:val="00101CB8"/>
    <w:rsid w:val="00103D5A"/>
    <w:rsid w:val="00110984"/>
    <w:rsid w:val="001112AB"/>
    <w:rsid w:val="001179F1"/>
    <w:rsid w:val="001207BE"/>
    <w:rsid w:val="00123D1E"/>
    <w:rsid w:val="00133C95"/>
    <w:rsid w:val="00142F9C"/>
    <w:rsid w:val="00154815"/>
    <w:rsid w:val="00161207"/>
    <w:rsid w:val="00161687"/>
    <w:rsid w:val="0016199A"/>
    <w:rsid w:val="00177B42"/>
    <w:rsid w:val="00187651"/>
    <w:rsid w:val="00190A23"/>
    <w:rsid w:val="001A1028"/>
    <w:rsid w:val="001B1397"/>
    <w:rsid w:val="001B281E"/>
    <w:rsid w:val="001B6AA2"/>
    <w:rsid w:val="001C1F48"/>
    <w:rsid w:val="001C582F"/>
    <w:rsid w:val="001D2A36"/>
    <w:rsid w:val="001D4A4D"/>
    <w:rsid w:val="001E6662"/>
    <w:rsid w:val="001F10B7"/>
    <w:rsid w:val="001F5F00"/>
    <w:rsid w:val="00201488"/>
    <w:rsid w:val="0022312F"/>
    <w:rsid w:val="00227E1F"/>
    <w:rsid w:val="00242778"/>
    <w:rsid w:val="002456EE"/>
    <w:rsid w:val="002474D4"/>
    <w:rsid w:val="00251DF9"/>
    <w:rsid w:val="002752D2"/>
    <w:rsid w:val="002811FD"/>
    <w:rsid w:val="0028171D"/>
    <w:rsid w:val="00284D03"/>
    <w:rsid w:val="00290347"/>
    <w:rsid w:val="002C386A"/>
    <w:rsid w:val="002E13A4"/>
    <w:rsid w:val="002E56F7"/>
    <w:rsid w:val="002F09CE"/>
    <w:rsid w:val="00315A9A"/>
    <w:rsid w:val="003219A2"/>
    <w:rsid w:val="00331C7A"/>
    <w:rsid w:val="003436FC"/>
    <w:rsid w:val="00347B70"/>
    <w:rsid w:val="003561E4"/>
    <w:rsid w:val="00356732"/>
    <w:rsid w:val="00364992"/>
    <w:rsid w:val="0038293B"/>
    <w:rsid w:val="0038528D"/>
    <w:rsid w:val="003A02AC"/>
    <w:rsid w:val="003A202A"/>
    <w:rsid w:val="003D15EC"/>
    <w:rsid w:val="003D5936"/>
    <w:rsid w:val="00402A95"/>
    <w:rsid w:val="00404FBC"/>
    <w:rsid w:val="00413F87"/>
    <w:rsid w:val="00431392"/>
    <w:rsid w:val="004317C0"/>
    <w:rsid w:val="00432F13"/>
    <w:rsid w:val="00450110"/>
    <w:rsid w:val="00464BD7"/>
    <w:rsid w:val="00470544"/>
    <w:rsid w:val="00474538"/>
    <w:rsid w:val="00475B95"/>
    <w:rsid w:val="004814E8"/>
    <w:rsid w:val="004A3CC7"/>
    <w:rsid w:val="004A4466"/>
    <w:rsid w:val="004A605F"/>
    <w:rsid w:val="004C2A1C"/>
    <w:rsid w:val="004C49C9"/>
    <w:rsid w:val="004D7ADD"/>
    <w:rsid w:val="004E31B2"/>
    <w:rsid w:val="004F24C1"/>
    <w:rsid w:val="004F361A"/>
    <w:rsid w:val="00510D4D"/>
    <w:rsid w:val="0051421C"/>
    <w:rsid w:val="00515084"/>
    <w:rsid w:val="005260FA"/>
    <w:rsid w:val="005434BC"/>
    <w:rsid w:val="00547B09"/>
    <w:rsid w:val="00561319"/>
    <w:rsid w:val="00561DA3"/>
    <w:rsid w:val="0056750B"/>
    <w:rsid w:val="00574EEB"/>
    <w:rsid w:val="005867B6"/>
    <w:rsid w:val="00586E08"/>
    <w:rsid w:val="005B3230"/>
    <w:rsid w:val="005D329E"/>
    <w:rsid w:val="005D50E7"/>
    <w:rsid w:val="005F62F5"/>
    <w:rsid w:val="0061137D"/>
    <w:rsid w:val="0061539D"/>
    <w:rsid w:val="00617322"/>
    <w:rsid w:val="00630392"/>
    <w:rsid w:val="00645BD2"/>
    <w:rsid w:val="006510EF"/>
    <w:rsid w:val="00656E0A"/>
    <w:rsid w:val="00661ACC"/>
    <w:rsid w:val="00662A32"/>
    <w:rsid w:val="00664C7A"/>
    <w:rsid w:val="00666C6B"/>
    <w:rsid w:val="006735FE"/>
    <w:rsid w:val="00675737"/>
    <w:rsid w:val="0067733D"/>
    <w:rsid w:val="006960EF"/>
    <w:rsid w:val="006A33B5"/>
    <w:rsid w:val="006D4570"/>
    <w:rsid w:val="006D5118"/>
    <w:rsid w:val="006D7C65"/>
    <w:rsid w:val="006E1F4C"/>
    <w:rsid w:val="006E35A0"/>
    <w:rsid w:val="006E53E8"/>
    <w:rsid w:val="007023D0"/>
    <w:rsid w:val="007162D5"/>
    <w:rsid w:val="007220E8"/>
    <w:rsid w:val="0072340C"/>
    <w:rsid w:val="00727027"/>
    <w:rsid w:val="0072710B"/>
    <w:rsid w:val="007308D4"/>
    <w:rsid w:val="00733B9D"/>
    <w:rsid w:val="007363B8"/>
    <w:rsid w:val="00741959"/>
    <w:rsid w:val="007529F8"/>
    <w:rsid w:val="00753518"/>
    <w:rsid w:val="007626D3"/>
    <w:rsid w:val="00765ABC"/>
    <w:rsid w:val="0077091A"/>
    <w:rsid w:val="00773A80"/>
    <w:rsid w:val="00773EE9"/>
    <w:rsid w:val="0077421C"/>
    <w:rsid w:val="007768CF"/>
    <w:rsid w:val="00780D7D"/>
    <w:rsid w:val="00787BEF"/>
    <w:rsid w:val="007A7AAC"/>
    <w:rsid w:val="007B1CE4"/>
    <w:rsid w:val="007B3C8C"/>
    <w:rsid w:val="007B4B03"/>
    <w:rsid w:val="007D0FE5"/>
    <w:rsid w:val="007D14D9"/>
    <w:rsid w:val="007D59E9"/>
    <w:rsid w:val="007E62D8"/>
    <w:rsid w:val="007F0EA9"/>
    <w:rsid w:val="007F21BC"/>
    <w:rsid w:val="007F590D"/>
    <w:rsid w:val="0080385A"/>
    <w:rsid w:val="00830F13"/>
    <w:rsid w:val="008321BB"/>
    <w:rsid w:val="008373BB"/>
    <w:rsid w:val="00843B6B"/>
    <w:rsid w:val="008610DA"/>
    <w:rsid w:val="00873219"/>
    <w:rsid w:val="00874792"/>
    <w:rsid w:val="00874C28"/>
    <w:rsid w:val="008772FF"/>
    <w:rsid w:val="008901D9"/>
    <w:rsid w:val="00894F39"/>
    <w:rsid w:val="008A5E1B"/>
    <w:rsid w:val="008B3487"/>
    <w:rsid w:val="008B4D91"/>
    <w:rsid w:val="008B760D"/>
    <w:rsid w:val="008C1C06"/>
    <w:rsid w:val="008D7AF5"/>
    <w:rsid w:val="008E3F14"/>
    <w:rsid w:val="008E5BCD"/>
    <w:rsid w:val="008E5C15"/>
    <w:rsid w:val="008E6900"/>
    <w:rsid w:val="00906F7E"/>
    <w:rsid w:val="00910C78"/>
    <w:rsid w:val="00916DF6"/>
    <w:rsid w:val="00934595"/>
    <w:rsid w:val="00941C0C"/>
    <w:rsid w:val="009472A5"/>
    <w:rsid w:val="00956667"/>
    <w:rsid w:val="00956B94"/>
    <w:rsid w:val="00957067"/>
    <w:rsid w:val="00957DBF"/>
    <w:rsid w:val="009620DA"/>
    <w:rsid w:val="00970DAB"/>
    <w:rsid w:val="00976CE2"/>
    <w:rsid w:val="009C12DE"/>
    <w:rsid w:val="009C3BFB"/>
    <w:rsid w:val="009D11A3"/>
    <w:rsid w:val="009E24A7"/>
    <w:rsid w:val="009E69DB"/>
    <w:rsid w:val="00A07047"/>
    <w:rsid w:val="00A26AA8"/>
    <w:rsid w:val="00A42AFC"/>
    <w:rsid w:val="00A55A09"/>
    <w:rsid w:val="00A708B7"/>
    <w:rsid w:val="00A744E4"/>
    <w:rsid w:val="00A77317"/>
    <w:rsid w:val="00AA74FB"/>
    <w:rsid w:val="00AB1975"/>
    <w:rsid w:val="00AB57C1"/>
    <w:rsid w:val="00AC257C"/>
    <w:rsid w:val="00B00483"/>
    <w:rsid w:val="00B145EB"/>
    <w:rsid w:val="00B3144A"/>
    <w:rsid w:val="00B31DDB"/>
    <w:rsid w:val="00B36E5B"/>
    <w:rsid w:val="00B40FD3"/>
    <w:rsid w:val="00B633C2"/>
    <w:rsid w:val="00B63A1C"/>
    <w:rsid w:val="00B822BA"/>
    <w:rsid w:val="00B84741"/>
    <w:rsid w:val="00B94116"/>
    <w:rsid w:val="00B94CE9"/>
    <w:rsid w:val="00B95DA2"/>
    <w:rsid w:val="00BA26B8"/>
    <w:rsid w:val="00BB25FA"/>
    <w:rsid w:val="00BB344A"/>
    <w:rsid w:val="00BC02D4"/>
    <w:rsid w:val="00BC1EBF"/>
    <w:rsid w:val="00BC489F"/>
    <w:rsid w:val="00BD3383"/>
    <w:rsid w:val="00BD3EFE"/>
    <w:rsid w:val="00BE0FA6"/>
    <w:rsid w:val="00BF6C4E"/>
    <w:rsid w:val="00C15FDA"/>
    <w:rsid w:val="00C17587"/>
    <w:rsid w:val="00C34CE3"/>
    <w:rsid w:val="00C3567A"/>
    <w:rsid w:val="00C36ADA"/>
    <w:rsid w:val="00C4282A"/>
    <w:rsid w:val="00C5021B"/>
    <w:rsid w:val="00C563D9"/>
    <w:rsid w:val="00C6508D"/>
    <w:rsid w:val="00C6665B"/>
    <w:rsid w:val="00C70EE0"/>
    <w:rsid w:val="00C715D9"/>
    <w:rsid w:val="00C728A1"/>
    <w:rsid w:val="00C749DD"/>
    <w:rsid w:val="00CA22A2"/>
    <w:rsid w:val="00CA4B43"/>
    <w:rsid w:val="00CB2F6E"/>
    <w:rsid w:val="00CB3CB7"/>
    <w:rsid w:val="00CD2A69"/>
    <w:rsid w:val="00CE693A"/>
    <w:rsid w:val="00CE7623"/>
    <w:rsid w:val="00CF251A"/>
    <w:rsid w:val="00CF55D0"/>
    <w:rsid w:val="00D05C74"/>
    <w:rsid w:val="00D15A4C"/>
    <w:rsid w:val="00D22AB2"/>
    <w:rsid w:val="00D25267"/>
    <w:rsid w:val="00D34AD3"/>
    <w:rsid w:val="00D36409"/>
    <w:rsid w:val="00D41399"/>
    <w:rsid w:val="00D50FDD"/>
    <w:rsid w:val="00D56150"/>
    <w:rsid w:val="00D604F4"/>
    <w:rsid w:val="00D60774"/>
    <w:rsid w:val="00D63C89"/>
    <w:rsid w:val="00D70610"/>
    <w:rsid w:val="00D87596"/>
    <w:rsid w:val="00D97E08"/>
    <w:rsid w:val="00DA43B3"/>
    <w:rsid w:val="00DB491F"/>
    <w:rsid w:val="00DC2B3E"/>
    <w:rsid w:val="00DC627B"/>
    <w:rsid w:val="00DD03AA"/>
    <w:rsid w:val="00DD4838"/>
    <w:rsid w:val="00DE031D"/>
    <w:rsid w:val="00DF4EAA"/>
    <w:rsid w:val="00DF7E58"/>
    <w:rsid w:val="00E0011C"/>
    <w:rsid w:val="00E07552"/>
    <w:rsid w:val="00E16B3C"/>
    <w:rsid w:val="00E219F6"/>
    <w:rsid w:val="00E30B6D"/>
    <w:rsid w:val="00E34FE5"/>
    <w:rsid w:val="00E378F9"/>
    <w:rsid w:val="00E37F97"/>
    <w:rsid w:val="00E479DE"/>
    <w:rsid w:val="00E5394D"/>
    <w:rsid w:val="00E547A5"/>
    <w:rsid w:val="00E60E76"/>
    <w:rsid w:val="00E64182"/>
    <w:rsid w:val="00E8044E"/>
    <w:rsid w:val="00E94EB4"/>
    <w:rsid w:val="00EB7249"/>
    <w:rsid w:val="00EE75FF"/>
    <w:rsid w:val="00EF12B4"/>
    <w:rsid w:val="00EF2A34"/>
    <w:rsid w:val="00F01687"/>
    <w:rsid w:val="00F20081"/>
    <w:rsid w:val="00F2680A"/>
    <w:rsid w:val="00F44537"/>
    <w:rsid w:val="00F467E1"/>
    <w:rsid w:val="00F469F7"/>
    <w:rsid w:val="00F52C9A"/>
    <w:rsid w:val="00F61F77"/>
    <w:rsid w:val="00F720A0"/>
    <w:rsid w:val="00F7558A"/>
    <w:rsid w:val="00F803D9"/>
    <w:rsid w:val="00F81C42"/>
    <w:rsid w:val="00F83164"/>
    <w:rsid w:val="00F86943"/>
    <w:rsid w:val="00F943F0"/>
    <w:rsid w:val="00F96C77"/>
    <w:rsid w:val="00F976A5"/>
    <w:rsid w:val="00FB1009"/>
    <w:rsid w:val="00FB6C52"/>
    <w:rsid w:val="00FC53E2"/>
    <w:rsid w:val="00FD2474"/>
    <w:rsid w:val="00FD421D"/>
    <w:rsid w:val="00FD5F00"/>
    <w:rsid w:val="00FE311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0E7F-7C0B-453B-86A4-130248B9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Elwira Misiewicz</cp:lastModifiedBy>
  <cp:revision>6</cp:revision>
  <cp:lastPrinted>2015-05-04T13:29:00Z</cp:lastPrinted>
  <dcterms:created xsi:type="dcterms:W3CDTF">2015-05-05T05:53:00Z</dcterms:created>
  <dcterms:modified xsi:type="dcterms:W3CDTF">2015-06-10T12:04:00Z</dcterms:modified>
</cp:coreProperties>
</file>